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hint="eastAsia"/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岳阳市公路建设和养护中心部门决算</w:t>
      </w: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spacing w:line="500" w:lineRule="exact"/>
        <w:jc w:val="both"/>
        <w:rPr>
          <w:b/>
          <w:sz w:val="36"/>
          <w:szCs w:val="28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岳阳市公路建设和养护中心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明细</w:t>
      </w:r>
      <w:r>
        <w:rPr>
          <w:rFonts w:cs="仿宋_GB2312" w:asciiTheme="minorEastAsia" w:hAnsiTheme="minorEastAsia" w:eastAsiaTheme="minorEastAsia"/>
          <w:sz w:val="28"/>
          <w:szCs w:val="28"/>
        </w:rPr>
        <w:t>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cs="仿宋_GB2312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国有资本经营预算财政拨款支出决算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政府采购支出说明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十三、国有资产占用情况说明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</w:pPr>
      <w:r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  <w:t>十四、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岳阳市公路建设和养护中心单位概况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2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岳阳市公路建设和公路养护中心（以下简称“建养中心”）主要工作职责为：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（一）行使本辖区内国省干线公路桥梁的规划、建设、养护、汽车渡运等有关行政管理职责；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 负责全市线公路建设、养护资金计划的编制和组织实施等工作。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rPr>
          <w:rFonts w:hint="eastAsia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建养中心下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107国道管理处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市区、云溪、君山三个区公路管理局，北门战备渡口所、岳兴公路管理所、公路物资供应站、公路建设质量检测中心等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个正科级单位。</w:t>
      </w:r>
    </w:p>
    <w:p>
      <w:pPr>
        <w:widowControl/>
        <w:numPr>
          <w:ilvl w:val="0"/>
          <w:numId w:val="2"/>
        </w:numPr>
        <w:spacing w:line="600" w:lineRule="exact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决算单位构成</w:t>
      </w:r>
    </w:p>
    <w:p>
      <w:pPr>
        <w:pStyle w:val="11"/>
        <w:ind w:firstLine="640" w:firstLineChars="200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岳阳市公路建设和养护中心2021年部门决算汇总公开单位构成包括：建养中心机关、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107国道管理处，市区、云溪、君山三个区公路管理局，北门战备渡口所、岳兴公路管理所、公路物资供应站、公路建设质量检测中心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9个单位。</w:t>
      </w:r>
    </w:p>
    <w:p>
      <w:pPr>
        <w:numPr>
          <w:ilvl w:val="0"/>
          <w:numId w:val="3"/>
        </w:numPr>
        <w:spacing w:line="560" w:lineRule="exact"/>
        <w:ind w:right="119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部门编制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截止2021年底，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建养中心实际在职人数544人，其中参公编制44人，非参公事业人员500人。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（见附件）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1"/>
        <w:jc w:val="both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11"/>
        <w:jc w:val="center"/>
        <w:rPr>
          <w:sz w:val="70"/>
          <w:szCs w:val="70"/>
        </w:rPr>
      </w:pPr>
    </w:p>
    <w:p>
      <w:pPr>
        <w:pStyle w:val="11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11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岳阳市公路建设和养护中心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年度收入总计28596.02万元，与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</w:p>
    <w:p>
      <w:pPr>
        <w:pStyle w:val="11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年相比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4950.14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20.93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%，本年支出总计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32"/>
          <w:szCs w:val="32"/>
          <w:highlight w:val="none"/>
        </w:rPr>
        <w:t>28596.02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万元，比上年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增加4950.14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主要原因是我单位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2021年交通建设工程总量增加。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年度收入总计28596.02万元，其中财政拨款收入28596.02万元（均为一般公共预算拨款收入），占比100%；事业收入0万元，占比0%；其他收入0万元，占比0%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年度支出总计28596.02万元，其中基本支出8483.02万元，占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29.67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%；项目支出20113万元，占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70.33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Arial" w:hAnsi="Arial" w:cs="Arial"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年度财政拨款收入28596.02万元，比上年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4950.14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20.93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%；主要是因为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公路建设、养护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根据公路使用年限，到期年限和公路里程来安排的，所以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每年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资金增幅不同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2020年我中心争资争项金额为9199万，2021年我中心争资争项金额合计13199万（2021年第一批大中修资金8169万，2021年普通国道危桥工程资金1591万，2021年养护专户切块资金1454万，2021年第二批大中修1985万。）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本年度财政拨款支出28596.02万元，比上年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4950.14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20.93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主要原因是我单位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2021年交通建设工程量增加。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i/>
          <w:iCs/>
          <w:sz w:val="32"/>
          <w:szCs w:val="32"/>
        </w:rPr>
      </w:pP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年度财政拨款支出28596.02万元，占本年支出合计的100%，与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年相比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4950.14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20.93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主要是因为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2021年的养护工程建设量比2020年增加了，所以支出数相对应增加了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年财政拨款支出28596.02万元，主要用于以下方面: 交通运输（类）支出26320.46万元，占比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92.04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%；社会保障和就业（类）支出1227.2万元，占比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4.29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%；住房保障(类)支出564.6万元，占比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%；其他支出4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3.76万元，占比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年度财政拨款支出年初预算数为7,250.37万元，支出决算数为28,596.02万元，完成年初预算的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394.4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%，其中：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其他支出（类）其他支出（款）其他支出（项）。年初预算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0万元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，支出决算4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3.76万元，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决算数大于预算数原因为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2021临湖路养护经费。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社会保障和就业支出（类）行政事业单位养老支出（款）行政单位离退休（项）年初预算为7.92万元，支出决算为7.92万元，完成年初预算的100%。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社会保障和就业支出（类）行政事业单位养老支出（款）机关事业单位基本养老保险缴费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（项）年初预算为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639.47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万元，支出决算为1046.06万元，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决算数大于预算数主要原因为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2021年机关事业单位基本养老保险经费有缺口。</w:t>
      </w:r>
    </w:p>
    <w:p>
      <w:pPr>
        <w:pStyle w:val="11"/>
        <w:numPr>
          <w:ilvl w:val="0"/>
          <w:numId w:val="0"/>
        </w:num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社会保障和就业支出（类）抚恤（款）其他优抚支出（项）年初预算为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万元，支出决算为103.01万元，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决算数大于预算数主要原因为</w:t>
      </w:r>
      <w:r>
        <w:rPr>
          <w:rFonts w:hint="eastAsia" w:ascii="宋体" w:hAnsi="宋体" w:eastAsia="宋体"/>
          <w:sz w:val="32"/>
          <w:szCs w:val="32"/>
        </w:rPr>
        <w:t>财政按规定拨付一次性抚恤金。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社会保障和就业支出（类）残疾人事业（款）其他残疾人事业支出（项）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年初预算为70.21万元，支出决算为70.21万元，完成年初预算的100%。</w:t>
      </w:r>
    </w:p>
    <w:p>
      <w:pPr>
        <w:pStyle w:val="6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交通运输支出（类）公路水路运输（款）行政运行（项）年初预算为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5511.58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万元，支出决算为4697.81万元，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决算数小于预算数主要原因为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uto"/>
        <w:ind w:firstLine="960" w:firstLineChars="3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交通运输支出（类）公路水路运输（款）公路养护（项）年初预算为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万元，支出决算为11471万元，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决算数大于预算数原因为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2021年有跨年未完工项目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uto"/>
        <w:ind w:firstLine="960" w:firstLineChars="3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交通运输支出（类）公路水路运输（款）其他公路水路运输支出（项）年初预算为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万元，支出决算为6792万元，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决算数大于预算数原因为</w:t>
      </w:r>
      <w:r>
        <w:rPr>
          <w:rFonts w:hint="eastAsia" w:ascii="宋体" w:hAnsi="宋体" w:eastAsia="宋体"/>
          <w:sz w:val="32"/>
          <w:szCs w:val="32"/>
          <w:highlight w:val="none"/>
        </w:rPr>
        <w:t>财</w:t>
      </w:r>
      <w:r>
        <w:rPr>
          <w:rFonts w:hint="eastAsia" w:ascii="宋体" w:hAnsi="宋体" w:eastAsia="宋体"/>
          <w:sz w:val="32"/>
          <w:szCs w:val="32"/>
        </w:rPr>
        <w:t>政追加了</w:t>
      </w:r>
      <w:r>
        <w:rPr>
          <w:rFonts w:hint="eastAsia" w:ascii="宋体" w:hAnsi="宋体" w:eastAsia="宋体"/>
          <w:sz w:val="32"/>
          <w:szCs w:val="32"/>
          <w:lang w:eastAsia="zh-CN"/>
        </w:rPr>
        <w:t>公路</w:t>
      </w:r>
      <w:r>
        <w:rPr>
          <w:rFonts w:hint="eastAsia" w:ascii="宋体" w:hAnsi="宋体" w:eastAsia="宋体"/>
          <w:sz w:val="32"/>
          <w:szCs w:val="32"/>
        </w:rPr>
        <w:t>建设项目资金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uto"/>
        <w:ind w:firstLine="960" w:firstLineChars="300"/>
        <w:jc w:val="both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交通运输支出（类）车辆购置税支出（款）车辆购置税用于公路等基础设施建设支出（项）年初预算为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万元，支出决算为1591万元，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决算数大于预算数原因为</w:t>
      </w:r>
      <w:r>
        <w:rPr>
          <w:rFonts w:hint="eastAsia" w:ascii="宋体" w:hAnsi="宋体" w:eastAsia="宋体"/>
          <w:sz w:val="32"/>
          <w:szCs w:val="32"/>
          <w:highlight w:val="none"/>
        </w:rPr>
        <w:t>财</w:t>
      </w:r>
      <w:r>
        <w:rPr>
          <w:rFonts w:hint="eastAsia" w:ascii="宋体" w:hAnsi="宋体" w:eastAsia="宋体"/>
          <w:sz w:val="32"/>
          <w:szCs w:val="32"/>
        </w:rPr>
        <w:t>政追加了</w:t>
      </w:r>
      <w:r>
        <w:rPr>
          <w:rFonts w:hint="eastAsia" w:ascii="宋体" w:hAnsi="宋体" w:eastAsia="宋体"/>
          <w:sz w:val="32"/>
          <w:szCs w:val="32"/>
          <w:lang w:eastAsia="zh-CN"/>
        </w:rPr>
        <w:t>公路</w:t>
      </w:r>
      <w:r>
        <w:rPr>
          <w:rFonts w:hint="eastAsia" w:ascii="宋体" w:hAnsi="宋体" w:eastAsia="宋体"/>
          <w:sz w:val="32"/>
          <w:szCs w:val="32"/>
        </w:rPr>
        <w:t>建设项目资金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uto"/>
        <w:ind w:firstLine="960" w:firstLineChars="300"/>
        <w:jc w:val="both"/>
        <w:rPr>
          <w:rFonts w:hint="eastAsia" w:eastAsia="宋体" w:asciiTheme="minorEastAsia" w:hAnsi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交通运输支出（类）其他交通运输支出（款）其他交通运输支出（项）年初预算为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万元，支出决算为1768.65万元，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决算数大于预算数原因为</w:t>
      </w:r>
      <w:r>
        <w:rPr>
          <w:rFonts w:hint="eastAsia" w:ascii="宋体" w:hAnsi="宋体" w:eastAsia="宋体"/>
          <w:sz w:val="32"/>
          <w:szCs w:val="32"/>
          <w:highlight w:val="none"/>
        </w:rPr>
        <w:t>财</w:t>
      </w:r>
      <w:r>
        <w:rPr>
          <w:rFonts w:hint="eastAsia" w:ascii="宋体" w:hAnsi="宋体" w:eastAsia="宋体"/>
          <w:sz w:val="32"/>
          <w:szCs w:val="32"/>
        </w:rPr>
        <w:t>政追加了</w:t>
      </w:r>
      <w:r>
        <w:rPr>
          <w:rFonts w:hint="eastAsia" w:ascii="宋体" w:hAnsi="宋体" w:eastAsia="宋体"/>
          <w:sz w:val="32"/>
          <w:szCs w:val="32"/>
          <w:lang w:eastAsia="zh-CN"/>
        </w:rPr>
        <w:t>公路</w:t>
      </w:r>
      <w:r>
        <w:rPr>
          <w:rFonts w:hint="eastAsia" w:ascii="宋体" w:hAnsi="宋体" w:eastAsia="宋体"/>
          <w:sz w:val="32"/>
          <w:szCs w:val="32"/>
        </w:rPr>
        <w:t>建设项目资金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、住房保障支出（类）住房改革支出（款）住房公积金（项）年初预算564.60万元，决算支出564.60万元，完成年初预算的100%。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年度财政拨款基本支出8483.02万元，其中：人员经费7,517.81万元，占基本支出的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88.62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%,主要包括基本工资、津贴补贴、绩效工资、奖金、伙食补助费、社会保障缴费、住房公积金及对个人和家庭的补助；公用经费965.21万元，占基本支出的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11.38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%，主要包括办公费、印刷费、咨询费、手续费、水电费、邮电费、会议费、培训费、公务接待费、公务车运行维护费、维修费、劳务费、专用燃料费等支出。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七、一般公共预算财政拨款“三公”经费支出决算情况说明</w:t>
      </w:r>
    </w:p>
    <w:p>
      <w:pPr>
        <w:pStyle w:val="11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“三公”经费财政拨款支出预算为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万元，支出决算为42.67万元，比上年减少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46.1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万元，减少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51.93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%，完成预算的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31.7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，主要原因是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我中心下属六县于2020年下放，其支出数据未纳入我中心2021年决算。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因公出国（境）费支出预算为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万元，支出决算为0万元，本年度无出国（境）费,与去年该项实际支出持平。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接待费支出预算为40万元，支出决算为10.72万元，完成预算的26.8%，决算数小于年初预算数的主要原因是单位公务接待制度健全，监控严格把关，执行国家省市相关政策到位，公务接待较上年相比减少支出28.18万元，减少的原因为2021年我中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机构改革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六县两区8家下属单位下放。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公务用车购置费及运行维护费支出预算为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31.95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42.6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%，与上年相比减少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17.92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万元，下降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35.93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%,减少的主要原因是行政事业单位公务车改革车辆减少，各事业单位按照市委市政府要求严格控制公务用车购置，加强公务用车管理，维修费及油料费减少。</w:t>
      </w:r>
    </w:p>
    <w:p>
      <w:pPr>
        <w:pStyle w:val="11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年度“三公”经费财政拨款支出决算中，公务接待费支出决算10.72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万元，比上年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28.08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72.18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我中心下属六县于2020年下放，其支出数据未纳入我中心2021年决算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；公务用车购置费及运行维护费支出决算31.95万元，比去年减少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17.92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35.93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%，主要是因为公务用车减少；因公出国（境）费支出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，与上年持平。其中：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1、公务接待费支出决算支出为10.72万元，全年共接待来访团组468批次、来宾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2450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人次，主要是相关单位交流工作情况及接受国家、省、市相关部门检查指导工作发生的接待支出。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2、公务用车购置费及运行维护费支出决算为31.95万元，其中：公务用车购置费0万元。公务用车运行维护费31.95万元，主要是公务用车数量减少，截止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2021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年12月31日，我单位开支财政拨款的公务用车保有量为14辆。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3、因公出国（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）费支出决算为0万元。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年度本单位无政府性基金收支。</w:t>
      </w:r>
    </w:p>
    <w:p>
      <w:pPr>
        <w:pStyle w:val="11"/>
        <w:numPr>
          <w:ilvl w:val="0"/>
          <w:numId w:val="6"/>
        </w:numPr>
        <w:rPr>
          <w:rFonts w:hint="eastAsia" w:hAnsi="黑体"/>
          <w:b/>
          <w:sz w:val="32"/>
          <w:szCs w:val="32"/>
          <w:lang w:eastAsia="zh-CN"/>
        </w:rPr>
      </w:pPr>
      <w:r>
        <w:rPr>
          <w:rFonts w:hint="eastAsia" w:hAnsi="黑体"/>
          <w:b/>
          <w:sz w:val="32"/>
          <w:szCs w:val="32"/>
        </w:rPr>
        <w:t>国有资本经营预算财政拨款支出决算</w:t>
      </w:r>
      <w:r>
        <w:rPr>
          <w:rFonts w:hint="eastAsia" w:hAnsi="黑体"/>
          <w:b/>
          <w:sz w:val="32"/>
          <w:szCs w:val="32"/>
          <w:lang w:eastAsia="zh-CN"/>
        </w:rPr>
        <w:t>情况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年度本单位无国有资本经营预算财政拨款支出。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十、机关运行经费支出说明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年度机关运行经费支出965.21万元，比上年决算数减少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173.3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万元，主要原因是公路建设和养护中心机构改革人员分流，部分人员划归县级管理，基本支出减少。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十一、一般性支出情况说明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年本部门开支会议费2.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万元，用于相关单位工作会议等；开支培训费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12.38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万元，用于开展公路相关业务工作培训。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年本部门未举办节庆、晚会、论坛、赛事等活动。</w:t>
      </w:r>
    </w:p>
    <w:p>
      <w:pPr>
        <w:pStyle w:val="11"/>
        <w:numPr>
          <w:ilvl w:val="0"/>
          <w:numId w:val="7"/>
        </w:numPr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政府采购支出说明</w:t>
      </w:r>
    </w:p>
    <w:p>
      <w:pPr>
        <w:pStyle w:val="11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本部门2021年度政府采购支出总额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492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万元，其中：政府采购货物支出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151.31</w:t>
      </w:r>
      <w:r>
        <w:rPr>
          <w:rFonts w:hint="eastAsia" w:asciiTheme="minorEastAsia" w:hAnsiTheme="minorEastAsia" w:eastAsiaTheme="minorEastAsia"/>
          <w:sz w:val="32"/>
          <w:szCs w:val="32"/>
        </w:rPr>
        <w:t>万元、政府采购工程支出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69.48</w:t>
      </w:r>
      <w:r>
        <w:rPr>
          <w:rFonts w:hint="eastAsia" w:asciiTheme="minorEastAsia" w:hAnsiTheme="minorEastAsia" w:eastAsiaTheme="minorEastAsia"/>
          <w:sz w:val="32"/>
          <w:szCs w:val="32"/>
        </w:rPr>
        <w:t>万元、政府采购服务支出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271.21</w:t>
      </w:r>
      <w:r>
        <w:rPr>
          <w:rFonts w:hint="eastAsia" w:asciiTheme="minorEastAsia" w:hAnsiTheme="minorEastAsia" w:eastAsiaTheme="minorEastAsia"/>
          <w:sz w:val="32"/>
          <w:szCs w:val="32"/>
        </w:rPr>
        <w:t>万元。授予中小企业合同金额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492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万元，占政府采购支出总额的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%，其中：授予小微企业合同金额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492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万元，占授予中小企业合同金额的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%；货物采购授予中小企业合同金额占货物支出金额的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30.75</w:t>
      </w:r>
      <w:r>
        <w:rPr>
          <w:rFonts w:hint="eastAsia" w:asciiTheme="minorEastAsia" w:hAnsiTheme="minorEastAsia" w:eastAsiaTheme="minorEastAsia"/>
          <w:sz w:val="32"/>
          <w:szCs w:val="32"/>
        </w:rPr>
        <w:t>%，工程采购授予中小企业合同金额占工程支出金额的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14.12</w:t>
      </w:r>
      <w:r>
        <w:rPr>
          <w:rFonts w:hint="eastAsia" w:asciiTheme="minorEastAsia" w:hAnsiTheme="minorEastAsia" w:eastAsiaTheme="minorEastAsia"/>
          <w:sz w:val="32"/>
          <w:szCs w:val="32"/>
        </w:rPr>
        <w:t>%，服务采购授予中小企业合同金额占服务支出金额的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55.13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1"/>
        <w:numPr>
          <w:ilvl w:val="0"/>
          <w:numId w:val="0"/>
        </w:numPr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十三、国有资产占用情况说明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截至2021年12月31日，本单位共有车辆14辆，其中公务用车4辆、特种专业技术用车3辆、其他用车7辆，其他用车主要是工程用车，本单位价值50万元以上通讯设备为0，价值100万以上专业设备为0。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十四、</w:t>
      </w:r>
      <w:r>
        <w:rPr>
          <w:rFonts w:hint="eastAsia" w:hAnsi="黑体"/>
          <w:b/>
          <w:sz w:val="32"/>
          <w:szCs w:val="32"/>
        </w:rPr>
        <w:t>2021年度预算绩效情况说明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（1）绩效管理评价工作开展情况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根据预算绩效管理要求，我部门组织对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 xml:space="preserve">2021 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年度一般公共预算项目支出全面开展绩效自评，其中，一级项目</w:t>
      </w:r>
      <w:r>
        <w:rPr>
          <w:rFonts w:hint="eastAsia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个，二级项目</w:t>
      </w:r>
      <w:r>
        <w:rPr>
          <w:rFonts w:hint="eastAsia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个，共涉及资金</w:t>
      </w:r>
      <w:r>
        <w:rPr>
          <w:rFonts w:hint="eastAsia" w:cs="黑体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万元，占一般公共预算项目支出总额的</w:t>
      </w:r>
      <w:r>
        <w:rPr>
          <w:rFonts w:hint="eastAsia" w:cs="黑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2021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年度</w:t>
      </w:r>
      <w:r>
        <w:rPr>
          <w:rFonts w:hint="eastAsia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个政府性基金预算项目支出开展绩效自评，共涉及资金</w:t>
      </w:r>
      <w:r>
        <w:rPr>
          <w:rFonts w:hint="eastAsia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万元，占政府性基金预算项目支出总额的</w:t>
      </w:r>
      <w:r>
        <w:rPr>
          <w:rFonts w:hint="eastAsia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</w:t>
      </w:r>
      <w:r>
        <w:rPr>
          <w:rFonts w:hint="eastAsia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年度</w:t>
      </w:r>
      <w:r>
        <w:rPr>
          <w:rFonts w:hint="eastAsia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个国有资本经营预算项目支出开展绩效自评，共涉及资金</w:t>
      </w:r>
      <w:r>
        <w:rPr>
          <w:rFonts w:hint="eastAsia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万元，占国有资本经营预算项目支出总额的</w:t>
      </w:r>
      <w:r>
        <w:rPr>
          <w:rFonts w:hint="eastAsia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组织对“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湘北大道保洁经费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”等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个项目开展了部门评价，涉及一般公共预算支出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万元，政府性基金预算支出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万元，国有资本经营预算支出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万元。从评价情况来看，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该项目的社会影响力大，有利于湘北大道沿线保洁工作，进一步落实了工作机制，为社会经济和社会发展创造了良好的环境，该项目符合当地广大人民群众的切身利益，对社会稳定也起着非常重要的保障作用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（请对预算绩效评价情况进行简单说明）。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组织对“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岳阳市公路建设和养护中心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”等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个单位开展整体支出绩效评价，涉及一般公共预算支出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8483.02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万元，政府性基金预算支出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万元。从评价情况来看，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市公路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建养中心严格按照年初预算批复执行，做到各项收支安排使用符合工作计划、单位职能和财政政策的要求，确保了单位正常运行和重大项目的实施，预算执行情况较好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但仍存在着一些问题，绩效指标建立的不够细化量化，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年初预算编制不够细化精确。针对以上问题，建养中心将逐步细化绩效评价指标，提高预算的准确性，加强预算资金管理。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（请对整体支出绩效评价情况进行简单说明）。</w:t>
      </w:r>
    </w:p>
    <w:p>
      <w:pPr>
        <w:numPr>
          <w:ilvl w:val="0"/>
          <w:numId w:val="8"/>
        </w:numPr>
        <w:autoSpaceDE w:val="0"/>
        <w:autoSpaceDN w:val="0"/>
        <w:adjustRightInd w:val="0"/>
        <w:ind w:firstLine="320" w:firstLineChars="100"/>
        <w:jc w:val="left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部门决算中项目绩效自评结果（如有）。</w:t>
      </w:r>
    </w:p>
    <w:p>
      <w:pPr>
        <w:numPr>
          <w:ilvl w:val="0"/>
          <w:numId w:val="0"/>
        </w:numPr>
        <w:ind w:firstLine="640" w:firstLineChars="200"/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湘北大道设施维护及养护项目绩效自评综述：根据年初设定的绩效目标，项目绩效自评得为95分，项目全年预算数为50万元，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执行数为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完成预算的100%。项目绩效目标完成情况：一是路面维护，二是绿化维护，三是交通标志、标牌维护，四是边坡水沟维护以及日常保洁，保障湘北大道南段畅通安全运行。下一步改进措施，一是新开路段落砂严重，加强巡路及保洁，得到安全无隐患，二是绿化加强维护，保障湘北大道的洁、畅、美。</w:t>
      </w:r>
      <w:bookmarkStart w:id="0" w:name="_GoBack"/>
      <w:bookmarkEnd w:id="0"/>
    </w:p>
    <w:p>
      <w:pPr>
        <w:autoSpaceDE w:val="0"/>
        <w:autoSpaceDN w:val="0"/>
        <w:adjustRightInd w:val="0"/>
        <w:ind w:firstLine="320" w:firstLineChars="1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</w:t>
      </w:r>
      <w:r>
        <w:rPr>
          <w:rFonts w:cs="黑体" w:asciiTheme="minorEastAsia" w:hAnsiTheme="minorEastAsia"/>
          <w:b/>
          <w:color w:val="000000"/>
          <w:kern w:val="0"/>
          <w:sz w:val="32"/>
          <w:szCs w:val="32"/>
        </w:rPr>
        <w:t>3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）部门评价项目绩效评价结果。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绩效管理工作开展顺利，部门决算中项目绩效自评结果为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95分</w:t>
      </w:r>
      <w:r>
        <w:rPr>
          <w:rFonts w:hint="eastAsia"/>
          <w:sz w:val="32"/>
          <w:szCs w:val="32"/>
        </w:rPr>
        <w:t>，部门评价项目绩效评价结果为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95分</w:t>
      </w:r>
      <w:r>
        <w:rPr>
          <w:rFonts w:hint="eastAsia"/>
          <w:sz w:val="32"/>
          <w:szCs w:val="32"/>
        </w:rPr>
        <w:t>，以部门为主体开展的重点绩效评价结果为</w:t>
      </w:r>
      <w:r>
        <w:rPr>
          <w:rFonts w:hint="eastAsia"/>
          <w:sz w:val="32"/>
          <w:szCs w:val="32"/>
          <w:lang w:val="en-US" w:eastAsia="zh-CN"/>
        </w:rPr>
        <w:t>96分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预算绩效管理开展情况、绩效目标和绩效评价报告等，一并作为附件公开。</w:t>
      </w:r>
    </w:p>
    <w:p>
      <w:pPr>
        <w:autoSpaceDE w:val="0"/>
        <w:autoSpaceDN w:val="0"/>
        <w:adjustRightInd w:val="0"/>
        <w:ind w:firstLine="720" w:firstLineChars="200"/>
        <w:jc w:val="left"/>
        <w:rPr>
          <w:rFonts w:hint="eastAsia" w:cs="黑体" w:asciiTheme="minorEastAsia" w:hAnsiTheme="minorEastAsia" w:eastAsiaTheme="minorEastAsia"/>
          <w:b/>
          <w:bCs/>
          <w:i/>
          <w:iCs/>
          <w:color w:val="auto"/>
          <w:kern w:val="0"/>
          <w:sz w:val="36"/>
          <w:szCs w:val="36"/>
          <w:lang w:eastAsia="zh-CN"/>
        </w:rPr>
      </w:pPr>
      <w:r>
        <w:rPr>
          <w:rFonts w:hint="eastAsia" w:cs="黑体" w:asciiTheme="minorEastAsia" w:hAnsiTheme="minorEastAsia"/>
          <w:b/>
          <w:bCs/>
          <w:i/>
          <w:iCs/>
          <w:color w:val="auto"/>
          <w:kern w:val="0"/>
          <w:sz w:val="36"/>
          <w:szCs w:val="36"/>
          <w:lang w:eastAsia="zh-CN"/>
        </w:rPr>
        <w:t>（绩效评价报告需作为附件上传）</w:t>
      </w:r>
    </w:p>
    <w:p>
      <w:pPr>
        <w:pStyle w:val="11"/>
        <w:rPr>
          <w:sz w:val="72"/>
          <w:szCs w:val="72"/>
        </w:rPr>
      </w:pPr>
    </w:p>
    <w:p>
      <w:pPr>
        <w:pStyle w:val="11"/>
        <w:jc w:val="both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cs="黑体" w:asciiTheme="minorEastAsia" w:hAnsiTheme="minorEastAsia" w:eastAsiaTheme="minor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auto"/>
          <w:kern w:val="0"/>
          <w:sz w:val="32"/>
          <w:szCs w:val="32"/>
          <w:lang w:val="en-US" w:eastAsia="zh-CN" w:bidi="ar-SA"/>
        </w:rPr>
        <w:t>“三公”经费：纳入市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pStyle w:val="6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cs="黑体" w:asciiTheme="minorEastAsia" w:hAnsiTheme="minorEastAsia" w:eastAsiaTheme="minor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auto"/>
          <w:kern w:val="0"/>
          <w:sz w:val="32"/>
          <w:szCs w:val="32"/>
          <w:lang w:val="en-US" w:eastAsia="zh-CN" w:bidi="ar-SA"/>
        </w:rPr>
        <w:t>（二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auto"/>
          <w:kern w:val="0"/>
          <w:sz w:val="70"/>
          <w:szCs w:val="70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 w:eastAsiaTheme="minorEastAsia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auto"/>
          <w:kern w:val="0"/>
          <w:sz w:val="32"/>
          <w:szCs w:val="32"/>
          <w:lang w:val="en-US" w:eastAsia="zh-CN"/>
        </w:rPr>
        <w:t>1、2021年部门决算公开表格</w:t>
      </w:r>
    </w:p>
    <w:p>
      <w:pPr>
        <w:ind w:firstLine="640" w:firstLineChars="200"/>
        <w:jc w:val="left"/>
        <w:rPr>
          <w:rFonts w:cs="黑体" w:asciiTheme="minorEastAsia" w:hAnsiTheme="minorEastAsia"/>
          <w:b/>
          <w:color w:val="auto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cs="黑体" w:asciiTheme="minorEastAsia" w:hAnsiTheme="minorEastAsia"/>
          <w:b/>
          <w:color w:val="auto"/>
          <w:kern w:val="0"/>
          <w:sz w:val="32"/>
          <w:szCs w:val="32"/>
        </w:rPr>
        <w:t>2021年度部门整体支出绩效评价报告</w:t>
      </w:r>
    </w:p>
    <w:p>
      <w:pPr>
        <w:ind w:firstLine="640" w:firstLineChars="200"/>
        <w:jc w:val="left"/>
        <w:rPr>
          <w:rFonts w:cs="黑体" w:asciiTheme="minorEastAsia" w:hAnsiTheme="minorEastAsia"/>
          <w:color w:val="auto"/>
          <w:kern w:val="0"/>
          <w:sz w:val="32"/>
          <w:szCs w:val="32"/>
        </w:rPr>
      </w:pPr>
      <w:r>
        <w:rPr>
          <w:rFonts w:cs="黑体" w:asciiTheme="minorEastAsia" w:hAnsiTheme="minorEastAsia"/>
          <w:color w:val="auto"/>
          <w:kern w:val="0"/>
          <w:sz w:val="32"/>
          <w:szCs w:val="32"/>
        </w:rPr>
        <w:t>………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6809B"/>
    <w:multiLevelType w:val="singleLevel"/>
    <w:tmpl w:val="95C6809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AE6DBBEF"/>
    <w:multiLevelType w:val="singleLevel"/>
    <w:tmpl w:val="AE6DBBE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16A298D"/>
    <w:multiLevelType w:val="singleLevel"/>
    <w:tmpl w:val="B16A298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9AB8616"/>
    <w:multiLevelType w:val="singleLevel"/>
    <w:tmpl w:val="E9AB86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C5F40D2"/>
    <w:multiLevelType w:val="singleLevel"/>
    <w:tmpl w:val="FC5F40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AA6800E"/>
    <w:multiLevelType w:val="singleLevel"/>
    <w:tmpl w:val="1AA6800E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2BA4979A"/>
    <w:multiLevelType w:val="singleLevel"/>
    <w:tmpl w:val="2BA4979A"/>
    <w:lvl w:ilvl="0" w:tentative="0">
      <w:start w:val="3"/>
      <w:numFmt w:val="chineseCounting"/>
      <w:suff w:val="space"/>
      <w:lvlText w:val="(%1)"/>
      <w:lvlJc w:val="left"/>
      <w:rPr>
        <w:rFonts w:hint="eastAsia"/>
      </w:rPr>
    </w:lvl>
  </w:abstractNum>
  <w:abstractNum w:abstractNumId="7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32E476"/>
    <w:multiLevelType w:val="singleLevel"/>
    <w:tmpl w:val="7F32E476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Tg5YTBmMDFhNzEzNjdjNDY4ZGRmMjlmOGI1MzQifQ=="/>
  </w:docVars>
  <w:rsids>
    <w:rsidRoot w:val="00172A27"/>
    <w:rsid w:val="0002229B"/>
    <w:rsid w:val="000273BD"/>
    <w:rsid w:val="000415B7"/>
    <w:rsid w:val="00041E3F"/>
    <w:rsid w:val="00055DAA"/>
    <w:rsid w:val="00061F7B"/>
    <w:rsid w:val="000658A3"/>
    <w:rsid w:val="00074155"/>
    <w:rsid w:val="000873EF"/>
    <w:rsid w:val="000A3F69"/>
    <w:rsid w:val="00103957"/>
    <w:rsid w:val="00124A1F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14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197"/>
    <w:rsid w:val="003C47E6"/>
    <w:rsid w:val="003C4FC2"/>
    <w:rsid w:val="003E2331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48B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75489"/>
    <w:rsid w:val="00DD06FF"/>
    <w:rsid w:val="00DD5FE9"/>
    <w:rsid w:val="00E00C7A"/>
    <w:rsid w:val="00E209CF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39744DF"/>
    <w:rsid w:val="03DC3813"/>
    <w:rsid w:val="04174273"/>
    <w:rsid w:val="05633A58"/>
    <w:rsid w:val="0628710D"/>
    <w:rsid w:val="06B411F0"/>
    <w:rsid w:val="071A2983"/>
    <w:rsid w:val="072118E0"/>
    <w:rsid w:val="074169EA"/>
    <w:rsid w:val="087403E0"/>
    <w:rsid w:val="094A423E"/>
    <w:rsid w:val="0BE56081"/>
    <w:rsid w:val="0C580627"/>
    <w:rsid w:val="0D0A6119"/>
    <w:rsid w:val="0E1B2E25"/>
    <w:rsid w:val="10B353F3"/>
    <w:rsid w:val="120F7DAE"/>
    <w:rsid w:val="13BE003E"/>
    <w:rsid w:val="144349CA"/>
    <w:rsid w:val="151B683A"/>
    <w:rsid w:val="17A87124"/>
    <w:rsid w:val="196D79B6"/>
    <w:rsid w:val="1A3E2AD1"/>
    <w:rsid w:val="1AC027BE"/>
    <w:rsid w:val="1D505C83"/>
    <w:rsid w:val="1FD172EA"/>
    <w:rsid w:val="21404D54"/>
    <w:rsid w:val="229B79C0"/>
    <w:rsid w:val="26D974BB"/>
    <w:rsid w:val="27DB542D"/>
    <w:rsid w:val="28DA4F5C"/>
    <w:rsid w:val="29440434"/>
    <w:rsid w:val="315E3FF7"/>
    <w:rsid w:val="33FF25E9"/>
    <w:rsid w:val="34C10F1C"/>
    <w:rsid w:val="357C6881"/>
    <w:rsid w:val="366364DD"/>
    <w:rsid w:val="36E64296"/>
    <w:rsid w:val="37046FAB"/>
    <w:rsid w:val="370B6762"/>
    <w:rsid w:val="38036DD4"/>
    <w:rsid w:val="38A90D02"/>
    <w:rsid w:val="39376B21"/>
    <w:rsid w:val="3C517E72"/>
    <w:rsid w:val="3C657AD9"/>
    <w:rsid w:val="3FFCA8B3"/>
    <w:rsid w:val="41473298"/>
    <w:rsid w:val="43657708"/>
    <w:rsid w:val="452C6670"/>
    <w:rsid w:val="45F9639D"/>
    <w:rsid w:val="460C6FBD"/>
    <w:rsid w:val="48ED43E7"/>
    <w:rsid w:val="4D0F1497"/>
    <w:rsid w:val="4D41698D"/>
    <w:rsid w:val="4EE52302"/>
    <w:rsid w:val="4FA314D2"/>
    <w:rsid w:val="4FFA6893"/>
    <w:rsid w:val="50691BE8"/>
    <w:rsid w:val="55477536"/>
    <w:rsid w:val="56302EDA"/>
    <w:rsid w:val="584E7542"/>
    <w:rsid w:val="59533848"/>
    <w:rsid w:val="5A0D76F8"/>
    <w:rsid w:val="5AC24275"/>
    <w:rsid w:val="60405F53"/>
    <w:rsid w:val="60A907EA"/>
    <w:rsid w:val="6145544E"/>
    <w:rsid w:val="61803D49"/>
    <w:rsid w:val="647B3D93"/>
    <w:rsid w:val="66516974"/>
    <w:rsid w:val="66E617E7"/>
    <w:rsid w:val="67E855EC"/>
    <w:rsid w:val="680E5A42"/>
    <w:rsid w:val="6C6367AC"/>
    <w:rsid w:val="709C06FE"/>
    <w:rsid w:val="7144740B"/>
    <w:rsid w:val="71C3669B"/>
    <w:rsid w:val="72A455FE"/>
    <w:rsid w:val="748F3CFF"/>
    <w:rsid w:val="74BD76C3"/>
    <w:rsid w:val="7533209B"/>
    <w:rsid w:val="78A67E2E"/>
    <w:rsid w:val="7A4E11D7"/>
    <w:rsid w:val="7AF165DB"/>
    <w:rsid w:val="7C782714"/>
    <w:rsid w:val="7D80381C"/>
    <w:rsid w:val="7F3E6D79"/>
    <w:rsid w:val="7FE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4497</Words>
  <Characters>5092</Characters>
  <Lines>69</Lines>
  <Paragraphs>19</Paragraphs>
  <TotalTime>13</TotalTime>
  <ScaleCrop>false</ScaleCrop>
  <LinksUpToDate>false</LinksUpToDate>
  <CharactersWithSpaces>5112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2020-07-02T10:32:00Z</dcterms:created>
  <dc:creator>李航 null</dc:creator>
  <cp:lastModifiedBy>lenovo</cp:lastModifiedBy>
  <cp:lastPrinted>2022-07-27T20:55:00Z</cp:lastPrinted>
  <dcterms:modified xsi:type="dcterms:W3CDTF">2023-09-22T05:40:41Z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C02081F76A1C414C807C3137DC2EA958</vt:lpwstr>
  </property>
</Properties>
</file>